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caps w:val="0"/>
          <w:color w:val="000000"/>
          <w:spacing w:val="0"/>
          <w:bdr w:val="none" w:color="auto" w:sz="0" w:space="0"/>
          <w:shd w:val="clear" w:fill="FFFFFF"/>
        </w:rPr>
      </w:pPr>
      <w:r>
        <w:rPr>
          <w:rFonts w:hint="eastAsia" w:ascii="微软雅黑" w:hAnsi="微软雅黑" w:eastAsia="微软雅黑" w:cs="微软雅黑"/>
          <w:i w:val="0"/>
          <w:caps w:val="0"/>
          <w:color w:val="000000"/>
          <w:spacing w:val="0"/>
          <w:bdr w:val="none" w:color="auto" w:sz="0" w:space="0"/>
          <w:shd w:val="clear" w:fill="FFFFFF"/>
        </w:rPr>
        <w:t>一院急诊人 省内展风采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sz w:val="28"/>
          <w:szCs w:val="28"/>
        </w:rPr>
      </w:pPr>
      <w:bookmarkStart w:id="0" w:name="_GoBack"/>
      <w:r>
        <w:rPr>
          <w:rFonts w:hint="eastAsia" w:ascii="宋体" w:hAnsi="宋体" w:eastAsia="宋体" w:cs="宋体"/>
          <w:b w:val="0"/>
          <w:bCs/>
          <w:i w:val="0"/>
          <w:caps w:val="0"/>
          <w:color w:val="000000"/>
          <w:spacing w:val="0"/>
          <w:sz w:val="28"/>
          <w:szCs w:val="28"/>
          <w:bdr w:val="none" w:color="auto" w:sz="0" w:space="0"/>
          <w:shd w:val="clear" w:fill="FFFFFF"/>
        </w:rPr>
        <w:t>——记西安市第一医院急诊团队参加陕西省护理学会急诊专业委员</w:t>
      </w:r>
    </w:p>
    <w:bookmarkEnd w:id="0"/>
    <w:p>
      <w:pPr>
        <w:keepNext w:val="0"/>
        <w:keepLines w:val="0"/>
        <w:widowControl/>
        <w:suppressLineNumbers w:val="0"/>
        <w:shd w:val="clear" w:fill="FFFFFF"/>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稿件来源：护理部 任燕萍 编辑：杨光  上传时间：2018年7月9日</w:t>
      </w:r>
    </w:p>
    <w:p>
      <w:pPr>
        <w:keepNext w:val="0"/>
        <w:keepLines w:val="0"/>
        <w:widowControl/>
        <w:suppressLineNumbers w:val="0"/>
        <w:jc w:val="left"/>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2018年7月7日，陕西省护理学会急诊专业委员会培训班在省医院拉开帷幕，来自全省急诊护理专业的百余名护理菁英参加培训。我院由任燕萍主任带队，派出急危重症专业小组6人参会。</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会上，任燕萍主任以《急诊科胸痛患者的护理新进展》为题做了精彩的报告，她用风趣的语言和病例分享的方式介绍了我院急诊、胸痛中心救治患者的三种护理模式：救治前移模式，绕行急诊模式以及经停急诊模式。她深入浅出地向大家介绍了三种模式的具体护理流程及关键点，同时她提到的多维空间立体思维模式，跳出常规思考模式，结合信息化的飞速发展，畅想专科护理的发展方向。给大家留下深刻的印象，使学员们耳目一新。</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任燕萍主任担任陕西省护理学会急诊专业委员会副主委，具体负责急诊专委会基层帮扶工作，在6日召开的全委会上，她就基层帮扶前半年的工作汇报和下半年的工作计划向大会做了汇报，特别是城固县医院、高陵区医院的二甲复审帮扶工作得到了主委和全体委员的一致认可和高度赞扬。</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西安市第一医院急诊护理团队，正在发展壮大，逐步扩大医院影响力，在陕西省急诊专业展示自己的风采！</w:t>
      </w:r>
    </w:p>
    <w:p>
      <w:pPr>
        <w:keepNext w:val="0"/>
        <w:keepLines w:val="0"/>
        <w:widowControl/>
        <w:suppressLineNumbers w:val="0"/>
        <w:shd w:val="clear" w:fill="FFFFFF"/>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3648075" cy="2736215"/>
            <wp:effectExtent l="0" t="0" r="9525" b="698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4"/>
                    <a:stretch>
                      <a:fillRect/>
                    </a:stretch>
                  </pic:blipFill>
                  <pic:spPr>
                    <a:xfrm>
                      <a:off x="0" y="0"/>
                      <a:ext cx="3648075" cy="2736215"/>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3484245" cy="4646930"/>
            <wp:effectExtent l="0" t="0" r="1905" b="127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5"/>
                    <a:stretch>
                      <a:fillRect/>
                    </a:stretch>
                  </pic:blipFill>
                  <pic:spPr>
                    <a:xfrm>
                      <a:off x="0" y="0"/>
                      <a:ext cx="3484245" cy="4646930"/>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4144645" cy="3108960"/>
            <wp:effectExtent l="0" t="0" r="8255" b="15240"/>
            <wp:docPr id="2"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8"/>
                    <pic:cNvPicPr>
                      <a:picLocks noChangeAspect="1"/>
                    </pic:cNvPicPr>
                  </pic:nvPicPr>
                  <pic:blipFill>
                    <a:blip r:embed="rId6"/>
                    <a:stretch>
                      <a:fillRect/>
                    </a:stretch>
                  </pic:blipFill>
                  <pic:spPr>
                    <a:xfrm>
                      <a:off x="0" y="0"/>
                      <a:ext cx="4144645" cy="310896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449FA"/>
    <w:rsid w:val="5519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2018-07-10T09:24:39Z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